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rFonts w:ascii="Times New Roman" w:hAnsi="Times New Roman"/>
          <w:sz w:val="28"/>
          <w:szCs w:val="28"/>
        </w:rPr>
      </w:pPr>
    </w:p>
    <w:p>
      <w:pPr>
        <w:pStyle w:val="Di 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drawing>
          <wp:inline distT="0" distB="0" distL="0" distR="0">
            <wp:extent cx="2247900" cy="2806700"/>
            <wp:effectExtent l="0" t="0" r="0" b="0"/>
            <wp:docPr id="1073741825" name="officeArt object" descr="page1image17948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94880.png" descr="page1image179488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0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>Nonantola, 04 Ottobre</w:t>
      </w:r>
      <w:r>
        <w:rPr>
          <w:rFonts w:ascii="Times" w:hAnsi="Times"/>
          <w:sz w:val="32"/>
          <w:szCs w:val="32"/>
          <w:rtl w:val="0"/>
        </w:rPr>
        <w:t xml:space="preserve"> 2018 </w:t>
      </w:r>
    </w:p>
    <w:p>
      <w:pPr>
        <w:pStyle w:val="Di default"/>
        <w:spacing w:after="240" w:line="360" w:lineRule="atLeas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s-ES_tradnl"/>
        </w:rPr>
        <w:t>COMUNICATO STAMPA</w:t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Sonja Borus, ragazza di Villa Emma, incontra la comunit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che 75 anni fa l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ha accolta e salvata.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Domenica 7 ottobre 2018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Sonja Borus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ragazza di Villa Emma, torna a Nonantola da Israele per incontrare la comunit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che 75 anni fa 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ha accolta e salvata.</w:t>
      </w: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iniziativa, organizzata in occasione del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75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°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anniversario della fuga in Svizzera del gruppo di giovani ebrei rifugiati a Villa Emma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a seguito dell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invasione dell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Italia da parte della Germania nel settembre del 1943, vede la collaborazione della Fondazione Villa Emma 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–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Ragazzi ebrei salvati, del Comune di Nonantola e dall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Abbazia di Nonantola. 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Nell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occasione la Fondazione Villa Emma presenta domenica pomeriggio alle 16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edizione italiana del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Diario di Sonja. Fuga e aliyha di un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pt-PT"/>
        </w:rPr>
        <w:t>adolescente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”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documento fondamentale per comprendere la vicenda dei ragazzi di Villa Emma e la storia di una persecuzione durata pi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di 5 anni che ha costretto il gruppo, arrivato a Nonantola nel 1942, ad una fuga attraverso 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Europa. </w:t>
      </w: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La pubblicazione in lingua italiana del Diario di Sonja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- spiega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Stefano Vaccari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,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Presidente della Fondazione Villa Emma Ragazzi ebrei salvati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-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un risultato particolarmente importante per la nostra Fondazione perch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ci restituisce una testimonianza diretta e autentica della vicenda e registra una voce interna al gruppo permettendo ai lettori di oggi di avvicinarsi all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esperienza vissuta dai ragazzi di Villa Emma, segnata dal trauma della perdita dei familiari e della fuga ma anche dalla speranza di ricostruire le proprie vite e di trovare una sorte migliore in Palestina</w:t>
      </w:r>
      <w:r>
        <w:rPr>
          <w:rFonts w:ascii="Cambria" w:cs="Cambria" w:hAnsi="Cambria" w:eastAsia="Cambria"/>
          <w:sz w:val="28"/>
          <w:szCs w:val="28"/>
          <w:rtl w:val="0"/>
        </w:rPr>
        <w:t>”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 </w:t>
      </w: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La presentazione del Diario di Sonja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fondamentale, per quanti vogliano avvicinarsi ulteriormente alla vicenda dei ragazzi ebrei arrivati a Nonantola nell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estate del 1942 e costretti ad abbandonarla, nell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autunno dell</w:t>
      </w:r>
      <w:r>
        <w:rPr>
          <w:rFonts w:ascii="Cambria" w:cs="Cambria" w:hAnsi="Cambria" w:eastAsia="Cambria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anno successivo, con i tedeschi ormai alle porte del paese.</w:t>
      </w: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Fausto Ciuffi, Direttore della Fondazione Villa Emma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Ragazzi ebrei salvati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sottolinea che: </w:t>
      </w:r>
      <w:r>
        <w:rPr>
          <w:rFonts w:ascii="Cambria" w:cs="Cambria" w:hAnsi="Cambria" w:eastAsia="Cambria"/>
          <w:sz w:val="28"/>
          <w:szCs w:val="28"/>
          <w:rtl w:val="0"/>
        </w:rPr>
        <w:t>“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La pubblicazione del Diario di Sonja e il suo ritorno a Nonantola si collocano in un momento molto importante e di grande spessore progettuale;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infatti avviato l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iter concorsuale per la progettazione di un sito museale, che sorger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a Prato Galli davanti a Villa Emma, e che nei prossimi mesi porter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all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individuazione del progetto vincitore. Non mancher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una sosta, in compagnia di Sonja, sui luoghi che hanno fatto da sfondo alla vicenda dei ragazzi di Villa Emma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”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.</w:t>
      </w: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sz w:val="28"/>
          <w:szCs w:val="28"/>
        </w:rPr>
      </w:pPr>
    </w:p>
    <w:p>
      <w:pPr>
        <w:pStyle w:val="Corpo A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Programma domenica 7 ottobre 2018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alle ore 10.30 Sonja incontrer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la comunit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di Nonantola presso i locali dell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Associazione la Clessidra.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alle ore 16.00 pres</w:t>
      </w:r>
      <w:r>
        <w:rPr>
          <w:rFonts w:ascii="Times New Roman" w:hAnsi="Times New Roman"/>
          <w:sz w:val="28"/>
          <w:szCs w:val="28"/>
          <w:rtl w:val="0"/>
          <w:lang w:val="it-IT"/>
        </w:rPr>
        <w:t>entazione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de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l libro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Diario di Sonja. Fuga e aliyha di un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adolescente berlinese, 1941-1946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(Mulino, Bologna 2018) presso la Sala Verde dell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Abbazia di Nonantola.  Partecip</w:t>
      </w:r>
      <w:r>
        <w:rPr>
          <w:rFonts w:ascii="Times New Roman" w:hAnsi="Times New Roman"/>
          <w:sz w:val="28"/>
          <w:szCs w:val="28"/>
          <w:rtl w:val="0"/>
          <w:lang w:val="it-IT"/>
        </w:rPr>
        <w:t>ano</w:t>
      </w:r>
      <w:r>
        <w:rPr>
          <w:rFonts w:ascii="Times New Roman" w:hAnsi="Times New Roman"/>
          <w:sz w:val="28"/>
          <w:szCs w:val="28"/>
          <w:rtl w:val="0"/>
          <w:lang w:val="it-IT"/>
        </w:rPr>
        <w:t>, oltre all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autrice, Alberto Cavaglion, membro del comitato scientifico della Fondazione Villa Emma, Alessandra Minerbi della Fondazione Cdec di Milano, Klaus Voigt e Loredana Melissari, curatore e traduttrice della pubblicazione (in collaborazione con la casa editrice Il Mulino).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alle ore 18.00 presso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Abbazia di Nonantola si t</w:t>
      </w:r>
      <w:r>
        <w:rPr>
          <w:rFonts w:ascii="Times New Roman" w:hAnsi="Times New Roman"/>
          <w:sz w:val="28"/>
          <w:szCs w:val="28"/>
          <w:rtl w:val="0"/>
          <w:lang w:val="it-IT"/>
        </w:rPr>
        <w:t>iene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il concerto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Lasciateci cantare la pace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dedicato a Sonja e agli amici israeliani organizzato da: Coro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Limpide Note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it-IT"/>
        </w:rPr>
        <w:t>, Coro di Red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, Coro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  <w:lang w:val="nl-NL"/>
        </w:rPr>
        <w:t>Tomas Luis De Victoria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Corpo A"/>
      </w:pPr>
    </w:p>
    <w:p>
      <w:pPr>
        <w:pStyle w:val="Corpo A"/>
      </w:pPr>
    </w:p>
    <w:p>
      <w:pPr>
        <w:pStyle w:val="Corpo A"/>
        <w:rPr>
          <w:rFonts w:ascii="Cambria" w:cs="Cambria" w:hAnsi="Cambria" w:eastAsia="Cambria"/>
          <w:b w:val="1"/>
          <w:bCs w:val="1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Diario di Sonja. Fuga e aliyha di un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adolescente berlinese, 1941-1946</w:t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(Mulino, Bologna 2018)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Sonja Borus, nata e cresciuta a Berlino, apparteneva al gruppo di 73 ragazze e ragazzi ebrei che, nel corso della loro fuga dalle persecuzioni naziste durata pi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rtl w:val="0"/>
          <w:lang w:val="it-IT"/>
        </w:rPr>
        <w:t>di quattro anni, trovarono rifugio presso Villa Emma a Nonantola, nella campagna modenese, dove arrivarono nell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estate del 1942. Qui furono accolti dalla popolazione locale e poi, a seguito dell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invasione tedesca dell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Italia, soccorsi fino alla salvezza. 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Il diario, punteggiato dalle impressioni di Sonja, narra il dolore per la separazione e la perdita della famiglia, e segue le tappe di un lungo viaggio, attraverso Slovenia, Italia e Svizzera, fino all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approdo in Palestina.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</w:rPr>
      </w:pPr>
    </w:p>
    <w:p>
      <w:pPr>
        <w:pStyle w:val="Di default"/>
        <w:spacing w:line="32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</w:p>
    <w:p>
      <w:pPr>
        <w:pStyle w:val="Di default"/>
        <w:spacing w:line="320" w:lineRule="atLeast"/>
      </w:pPr>
      <w:r>
        <w:rPr>
          <w:rFonts w:ascii="Helvetica" w:cs="Helvetica" w:hAnsi="Helvetica" w:eastAsia="Helvetica"/>
          <w:sz w:val="28"/>
          <w:szCs w:val="28"/>
          <w:shd w:val="clear" w:color="auto" w:fill="ffffff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6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3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5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7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9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1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3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5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7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656" w:hanging="2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3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5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7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9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41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3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5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78" w:hanging="4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63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1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3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5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7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9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1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3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58" w:hanging="4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Stile importato 1">
    <w:name w:val="Stile importato 1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